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  </w:t>
      </w:r>
    </w:p>
    <w:p w:rsidR="00000000" w:rsidDel="00000000" w:rsidP="00000000" w:rsidRDefault="00000000" w:rsidRPr="00000000" w14:paraId="00000002">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Київ </w:t>
        <w:tab/>
        <w:tab/>
        <w:tab/>
        <w:tab/>
        <w:tab/>
        <w:tab/>
        <w:tab/>
        <w:tab/>
        <w:tab/>
        <w:t xml:space="preserve">2025 р.</w:t>
      </w:r>
    </w:p>
    <w:p w:rsidR="00000000" w:rsidDel="00000000" w:rsidP="00000000" w:rsidRDefault="00000000" w:rsidRPr="00000000" w14:paraId="00000003">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_____________________________________________________________________________________</w:t>
      </w:r>
      <w:r w:rsidDel="00000000" w:rsidR="00000000" w:rsidRPr="00000000">
        <w:rPr>
          <w:rFonts w:ascii="Times New Roman" w:cs="Times New Roman" w:eastAsia="Times New Roman" w:hAnsi="Times New Roman"/>
          <w:rtl w:val="0"/>
        </w:rPr>
        <w:t xml:space="preserve">, іменований надалі Виконавець, РНОКПП, є платником єдиного податку третьої групи, ставка 5%, з однієї сторони, </w:t>
      </w:r>
    </w:p>
    <w:p w:rsidR="00000000" w:rsidDel="00000000" w:rsidP="00000000" w:rsidRDefault="00000000" w:rsidRPr="00000000" w14:paraId="00000004">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w:t>
      </w:r>
    </w:p>
    <w:p w:rsidR="00000000" w:rsidDel="00000000" w:rsidP="00000000" w:rsidRDefault="00000000" w:rsidRPr="00000000" w14:paraId="00000005">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БЛАГОДІЙНА ОРГАНІЗАЦІЯ «БЛАГОДІЙНИЙ ФОНД «СМІЛИВІ»</w:t>
      </w:r>
      <w:r w:rsidDel="00000000" w:rsidR="00000000" w:rsidRPr="00000000">
        <w:rPr>
          <w:rFonts w:ascii="Times New Roman" w:cs="Times New Roman" w:eastAsia="Times New Roman" w:hAnsi="Times New Roman"/>
          <w:rtl w:val="0"/>
        </w:rPr>
        <w:t xml:space="preserve">, 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29.12.2022р. (далі в тексті цього договору - Замовник), в особі Директора КРИЦУК Альони Сергіївни, яка діє на підставі Статуту з іншої сторони, надалі разом іменовані «Сторони», а кожна окремо – «Сторона», уклали даний договір про нижченаведене:</w:t>
      </w:r>
    </w:p>
    <w:p w:rsidR="00000000" w:rsidDel="00000000" w:rsidP="00000000" w:rsidRDefault="00000000" w:rsidRPr="00000000" w14:paraId="00000006">
      <w:pPr>
        <w:numPr>
          <w:ilvl w:val="0"/>
          <w:numId w:val="2"/>
        </w:numPr>
        <w:spacing w:after="160" w:line="259" w:lineRule="auto"/>
        <w:ind w:left="720"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Предмет Договору</w:t>
      </w:r>
    </w:p>
    <w:p w:rsidR="00000000" w:rsidDel="00000000" w:rsidP="00000000" w:rsidRDefault="00000000" w:rsidRPr="00000000" w14:paraId="00000007">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Замовник доручає, а Виконавець бере на себе зобов'язання щодо надання послуг із забезпечення інформаційного супроводу та видимості грантового проєкту Замовника, що реалізовуватиметься з 15.11.2025р. по 15.05.2026р. відповідно до умов Грантової угоди № СOU106_2025_2_01 від 21.11.2025 року що фінансується Prague Civil Society Centre.</w:t>
      </w:r>
    </w:p>
    <w:p w:rsidR="00000000" w:rsidDel="00000000" w:rsidP="00000000" w:rsidRDefault="00000000" w:rsidRPr="00000000" w14:paraId="00000008">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Орієнтовний перелік послуг за завданням Замовника:</w:t>
      </w:r>
    </w:p>
    <w:p w:rsidR="00000000" w:rsidDel="00000000" w:rsidP="00000000" w:rsidRDefault="00000000" w:rsidRPr="00000000" w14:paraId="00000009">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1.2.1. Реалізація цифрової кампанії для ОСББ, ККОЖФ, приватних керуючих компаній та координаторів екстреного реагування;</w:t>
      </w:r>
    </w:p>
    <w:p w:rsidR="00000000" w:rsidDel="00000000" w:rsidP="00000000" w:rsidRDefault="00000000" w:rsidRPr="00000000" w14:paraId="0000000A">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1.2.2. Підготовка публікацій та інформаційних матеріалів про проєкт;</w:t>
      </w:r>
    </w:p>
    <w:p w:rsidR="00000000" w:rsidDel="00000000" w:rsidP="00000000" w:rsidRDefault="00000000" w:rsidRPr="00000000" w14:paraId="0000000B">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1.2.3. Розроблення контенту для соціальних мереж Замовника;</w:t>
      </w:r>
    </w:p>
    <w:p w:rsidR="00000000" w:rsidDel="00000000" w:rsidP="00000000" w:rsidRDefault="00000000" w:rsidRPr="00000000" w14:paraId="0000000C">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1.2.4. Розповсюдження посібників, чек-листів, та відеоінструкцій серед ОСББ, керуючих компаній, волонтерських організацій, громадських організацій та місцевих адміністрацій;</w:t>
      </w:r>
    </w:p>
    <w:p w:rsidR="00000000" w:rsidDel="00000000" w:rsidP="00000000" w:rsidRDefault="00000000" w:rsidRPr="00000000" w14:paraId="0000000D">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1.2.5. Координація комунікації з районними адміністраціями м. Києва;</w:t>
      </w:r>
    </w:p>
    <w:p w:rsidR="00000000" w:rsidDel="00000000" w:rsidP="00000000" w:rsidRDefault="00000000" w:rsidRPr="00000000" w14:paraId="0000000E">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1.2.6. Підтримка зв'язків з громадськістю та громадськими організації, які займаються екстреним реагуванням;</w:t>
      </w:r>
    </w:p>
    <w:p w:rsidR="00000000" w:rsidDel="00000000" w:rsidP="00000000" w:rsidRDefault="00000000" w:rsidRPr="00000000" w14:paraId="0000000F">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1.2.7.Організація щонайменше 1 публічної презентації як фінального заходу для демонстрації інструментів та досвіду проєкту (квітень 2026);</w:t>
      </w:r>
    </w:p>
    <w:p w:rsidR="00000000" w:rsidDel="00000000" w:rsidP="00000000" w:rsidRDefault="00000000" w:rsidRPr="00000000" w14:paraId="00000010">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1.2.8. Логістичне та комунікаційне забезпечення заходу;</w:t>
      </w:r>
    </w:p>
    <w:p w:rsidR="00000000" w:rsidDel="00000000" w:rsidP="00000000" w:rsidRDefault="00000000" w:rsidRPr="00000000" w14:paraId="00000011">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1.2.9. Забезпечення ефективної комунікації між учасниками проєкту, координаторами волонтерської спільноти тощо;</w:t>
      </w:r>
    </w:p>
    <w:p w:rsidR="00000000" w:rsidDel="00000000" w:rsidP="00000000" w:rsidRDefault="00000000" w:rsidRPr="00000000" w14:paraId="00000012">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1.2.10. Надання інших послуг в межах видів діяльності Виконавця.</w:t>
      </w:r>
    </w:p>
    <w:p w:rsidR="00000000" w:rsidDel="00000000" w:rsidP="00000000" w:rsidRDefault="00000000" w:rsidRPr="00000000" w14:paraId="00000013">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 Замовник зобов’язується прийняти належним чином надані послуги Виконавця та оплатити їх вартість у порядку і на умовах, що визначені цим Договором.</w:t>
        <w:br w:type="textWrapping"/>
        <w:t xml:space="preserve">1.2. протягом строку дії цього Договору. Замовник зобов'язується прийняти результат таких послуг і сплатити Виконавцю винагороду у порядку і на умовах, що визначені цим Договором. Конкретний обсяг послуг, зміст, етапність та результати робіт визначаються відповідно до технічного завдання та плану реалізації проєкту. </w:t>
      </w:r>
    </w:p>
    <w:p w:rsidR="00000000" w:rsidDel="00000000" w:rsidP="00000000" w:rsidRDefault="00000000" w:rsidRPr="00000000" w14:paraId="00000014">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Виконавець виконує Послуги особисто, відповідно до умов цього Договору та діючого законодавства України. </w:t>
      </w:r>
    </w:p>
    <w:p w:rsidR="00000000" w:rsidDel="00000000" w:rsidP="00000000" w:rsidRDefault="00000000" w:rsidRPr="00000000" w14:paraId="00000015">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Метою надання консультацій є отримання Замовником від Виконавця послуг для зменшення інформаційної невизначеності щодо предмета замовлення відповідно до поставленого Замовником завдання, контроль за оформленням документів, здійснення управлінської та організаційної підтримки Замовника з питань управління проєктами та формалізації опису результатів проєктів, участь у стратегічному та оперативному плануванні діяльності Замовника, управління змінами, надання інших послуг в межах видів діяльності Виконавця за замовленням Замовника протягом строку дії цього Договору.</w:t>
      </w:r>
    </w:p>
    <w:p w:rsidR="00000000" w:rsidDel="00000000" w:rsidP="00000000" w:rsidRDefault="00000000" w:rsidRPr="00000000" w14:paraId="00000016">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Порядок виконання робіт</w:t>
      </w:r>
    </w:p>
    <w:p w:rsidR="00000000" w:rsidDel="00000000" w:rsidP="00000000" w:rsidRDefault="00000000" w:rsidRPr="00000000" w14:paraId="00000017">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 Послуги надаються за заявками Замовника, які можуть бути зроблені в усній або письмовій формі посадовими особами Замовника.</w:t>
      </w:r>
    </w:p>
    <w:p w:rsidR="00000000" w:rsidDel="00000000" w:rsidP="00000000" w:rsidRDefault="00000000" w:rsidRPr="00000000" w14:paraId="00000018">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 Результатом надання послуг є усні та/або письмові консультації, проєкти документів, роз’яснення, технічні завдання, висновки, участь у нарадах, складання пропозицій, фінансово-розпорядча діяльність тощо.</w:t>
      </w:r>
    </w:p>
    <w:p w:rsidR="00000000" w:rsidDel="00000000" w:rsidP="00000000" w:rsidRDefault="00000000" w:rsidRPr="00000000" w14:paraId="00000019">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 Граничний строк виконання послуг Виконавцем визначається за договором між Виконавцем та Замовником, виходячи з потреб тієї чи іншої послуги, які надаються Виконавцем Замовнику. Послуги зі складення Виконавцем проєктів документів не можуть перевищувати 5 (п'яти) робочих днів. У виняткових випадках, враховуючи значний обсяг інформації - граничний строк може бути продовжений до 7 (семи) робочих днів з обов’язковим попереднім інформуванням Замовника про таке подовження строку в межах перших 5 днів, що надаються Виконавцю для виконання замовлення.</w:t>
      </w:r>
    </w:p>
    <w:p w:rsidR="00000000" w:rsidDel="00000000" w:rsidP="00000000" w:rsidRDefault="00000000" w:rsidRPr="00000000" w14:paraId="0000001A">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За результатами наданих послуг сторонами підписується Акт виконаних робіт. Обов’язок складення Акту покладається на Виконавця.</w:t>
      </w:r>
    </w:p>
    <w:p w:rsidR="00000000" w:rsidDel="00000000" w:rsidP="00000000" w:rsidRDefault="00000000" w:rsidRPr="00000000" w14:paraId="0000001B">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Замовник по отриманню Акту виконаних робіт від Виконавця зобов’язаний підписати такий Акт та надати його підписаний примірник Виконавцю., або висловити свою незгоду з таким Актом та надати Виконавцю свої зауваження до Акту. </w:t>
      </w:r>
    </w:p>
    <w:p w:rsidR="00000000" w:rsidDel="00000000" w:rsidP="00000000" w:rsidRDefault="00000000" w:rsidRPr="00000000" w14:paraId="0000001C">
      <w:pPr>
        <w:spacing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 Підписаний сторонами Акт виконаних робіт є документом, що посвідчує отримання послуг Замовником від Виконавця в повному обсязі, належної якості та у кількості, що узгоджена сторонами. Претензії Замовника щодо неналежного надання послуг Виконавця (ненадання послуг Виконавцем) після підписання сторонами Акту виконаних робіт Виконавцем до розгляду не приймаються.</w:t>
      </w:r>
    </w:p>
    <w:p w:rsidR="00000000" w:rsidDel="00000000" w:rsidP="00000000" w:rsidRDefault="00000000" w:rsidRPr="00000000" w14:paraId="0000001D">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 Виконавець має право в будь-який час відмовитись від надання послуг за цим Договором проінформувавши про це Замовника у письмовій формі за 30 робочих днів до запланованої дати припинення Договору. </w:t>
      </w:r>
    </w:p>
    <w:p w:rsidR="00000000" w:rsidDel="00000000" w:rsidP="00000000" w:rsidRDefault="00000000" w:rsidRPr="00000000" w14:paraId="0000001E">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Зобов'язання Сторін</w:t>
      </w:r>
    </w:p>
    <w:p w:rsidR="00000000" w:rsidDel="00000000" w:rsidP="00000000" w:rsidRDefault="00000000" w:rsidRPr="00000000" w14:paraId="0000001F">
      <w:pPr>
        <w:numPr>
          <w:ilvl w:val="1"/>
          <w:numId w:val="6"/>
        </w:numPr>
        <w:spacing w:line="259" w:lineRule="auto"/>
        <w:ind w:left="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Замовник зобов'язується: </w:t>
      </w:r>
    </w:p>
    <w:p w:rsidR="00000000" w:rsidDel="00000000" w:rsidP="00000000" w:rsidRDefault="00000000" w:rsidRPr="00000000" w14:paraId="00000020">
      <w:pPr>
        <w:numPr>
          <w:ilvl w:val="2"/>
          <w:numId w:val="6"/>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Виконавцю в електронній формі або за телефоном, що вказано у цьому Договорі, замовлення на Послуги; </w:t>
      </w:r>
    </w:p>
    <w:p w:rsidR="00000000" w:rsidDel="00000000" w:rsidP="00000000" w:rsidRDefault="00000000" w:rsidRPr="00000000" w14:paraId="00000021">
      <w:pPr>
        <w:numPr>
          <w:ilvl w:val="2"/>
          <w:numId w:val="6"/>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Виконавця відповідними достовірними інформацією та зразками типових документів, що використовуються Замовником (для дотримання єдиної форми шаблонів документів);</w:t>
      </w:r>
    </w:p>
    <w:p w:rsidR="00000000" w:rsidDel="00000000" w:rsidP="00000000" w:rsidRDefault="00000000" w:rsidRPr="00000000" w14:paraId="00000022">
      <w:pPr>
        <w:numPr>
          <w:ilvl w:val="2"/>
          <w:numId w:val="6"/>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по мірі виникнення питань, Виконавця інформацією та матеріалами, що необхідні для виконання цього Договору;</w:t>
      </w:r>
    </w:p>
    <w:p w:rsidR="00000000" w:rsidDel="00000000" w:rsidP="00000000" w:rsidRDefault="00000000" w:rsidRPr="00000000" w14:paraId="00000023">
      <w:pPr>
        <w:numPr>
          <w:ilvl w:val="2"/>
          <w:numId w:val="6"/>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2-х (двох) робочих днів з моменту отримання від Виконавця Акту виконаних робіт, підписати та надати Виконавцю його примірник Акту виконаних робіт або надати зауваження до Акту;</w:t>
      </w:r>
    </w:p>
    <w:p w:rsidR="00000000" w:rsidDel="00000000" w:rsidP="00000000" w:rsidRDefault="00000000" w:rsidRPr="00000000" w14:paraId="00000024">
      <w:pPr>
        <w:numPr>
          <w:ilvl w:val="2"/>
          <w:numId w:val="6"/>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строки, що визначені цим Договором сплатити на користь Виконавця винагороду;</w:t>
      </w:r>
    </w:p>
    <w:p w:rsidR="00000000" w:rsidDel="00000000" w:rsidP="00000000" w:rsidRDefault="00000000" w:rsidRPr="00000000" w14:paraId="00000025">
      <w:pPr>
        <w:numPr>
          <w:ilvl w:val="2"/>
          <w:numId w:val="6"/>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проходити звірку взаєморозрахунків та підписувати відповідний Акт звірки взаєморозрахунків, якщо на цьому наполягає інша сторона.</w:t>
      </w:r>
    </w:p>
    <w:p w:rsidR="00000000" w:rsidDel="00000000" w:rsidP="00000000" w:rsidRDefault="00000000" w:rsidRPr="00000000" w14:paraId="00000026">
      <w:pPr>
        <w:numPr>
          <w:ilvl w:val="1"/>
          <w:numId w:val="7"/>
        </w:numPr>
        <w:spacing w:line="259" w:lineRule="auto"/>
        <w:ind w:left="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Виконавець зобов'язується:</w:t>
      </w:r>
    </w:p>
    <w:p w:rsidR="00000000" w:rsidDel="00000000" w:rsidP="00000000" w:rsidRDefault="00000000" w:rsidRPr="00000000" w14:paraId="00000027">
      <w:pPr>
        <w:numPr>
          <w:ilvl w:val="2"/>
          <w:numId w:val="7"/>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надавати послуги належної якості, в обсягах і в строки, визначені у даному Договорі та завданнях Замовника;</w:t>
      </w:r>
    </w:p>
    <w:p w:rsidR="00000000" w:rsidDel="00000000" w:rsidP="00000000" w:rsidRDefault="00000000" w:rsidRPr="00000000" w14:paraId="00000028">
      <w:pPr>
        <w:numPr>
          <w:ilvl w:val="2"/>
          <w:numId w:val="7"/>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здійсненні діяльності не виходити за межі цього Договору та вимог Замовника;</w:t>
      </w:r>
    </w:p>
    <w:p w:rsidR="00000000" w:rsidDel="00000000" w:rsidP="00000000" w:rsidRDefault="00000000" w:rsidRPr="00000000" w14:paraId="00000029">
      <w:pPr>
        <w:numPr>
          <w:ilvl w:val="2"/>
          <w:numId w:val="7"/>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Замовнику проект Акту виконаних робіт у строки, що визначені цим Договором;</w:t>
      </w:r>
    </w:p>
    <w:p w:rsidR="00000000" w:rsidDel="00000000" w:rsidP="00000000" w:rsidRDefault="00000000" w:rsidRPr="00000000" w14:paraId="0000002A">
      <w:pPr>
        <w:numPr>
          <w:ilvl w:val="2"/>
          <w:numId w:val="7"/>
        </w:numPr>
        <w:spacing w:after="160"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проходити звірку взаєморозрахунків та підписувати відповідний Акт звірки взаєморозрахунків, якщо на цьому наполягає інша сторона.</w:t>
      </w:r>
    </w:p>
    <w:p w:rsidR="00000000" w:rsidDel="00000000" w:rsidP="00000000" w:rsidRDefault="00000000" w:rsidRPr="00000000" w14:paraId="0000002B">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Вартість робіт, порядок розрахунків.</w:t>
      </w:r>
    </w:p>
    <w:p w:rsidR="00000000" w:rsidDel="00000000" w:rsidP="00000000" w:rsidRDefault="00000000" w:rsidRPr="00000000" w14:paraId="0000002C">
      <w:pPr>
        <w:numPr>
          <w:ilvl w:val="2"/>
          <w:numId w:val="7"/>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надання послуг за цим Договором Замовником Виконавцю сплачується винагорода, розмір якої погоджується Сторонами при наданні замовлення, фіксується  та зазначається у Виконавця в Акті виконаних робіт, без ПДВ (сторони не є платниками ПДВ). Сторони погодили що загальна ціна цього Договору складає ______ грн. (__________.) за весь час строку дії цього Договору. Сторони погодили, що оплата послуг Виконавця проводиться згідно Акту виконаних робіт Виконавця. Виплата винагороди Виконавцю, якщо інше не погоджено сторонами, проводиться Замовником протягом 30 (тридцяти) робочих днів з дати підписання Акту виконаних робіт, якщо інший строк не погоджений сторонами у Акті. </w:t>
      </w:r>
    </w:p>
    <w:p w:rsidR="00000000" w:rsidDel="00000000" w:rsidP="00000000" w:rsidRDefault="00000000" w:rsidRPr="00000000" w14:paraId="0000002D">
      <w:pPr>
        <w:numPr>
          <w:ilvl w:val="1"/>
          <w:numId w:val="8"/>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Послуг Виконавця за цим Договором може провадитись до підписання Акту виконаних робіт сторонами на підставі рахунку Виконавця за виконаний обсяг робіт/послуг і тоді така сума є передплатою за послуги Виконавця.</w:t>
      </w:r>
    </w:p>
    <w:p w:rsidR="00000000" w:rsidDel="00000000" w:rsidP="00000000" w:rsidRDefault="00000000" w:rsidRPr="00000000" w14:paraId="0000002E">
      <w:pPr>
        <w:numPr>
          <w:ilvl w:val="1"/>
          <w:numId w:val="8"/>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провадиться в гривні - національній валюті України, шляхом переказу коштів на поточний рахунок Виконавця, що вказаний у цьому Договорі. </w:t>
      </w:r>
    </w:p>
    <w:p w:rsidR="00000000" w:rsidDel="00000000" w:rsidP="00000000" w:rsidRDefault="00000000" w:rsidRPr="00000000" w14:paraId="0000002F">
      <w:pPr>
        <w:numPr>
          <w:ilvl w:val="1"/>
          <w:numId w:val="8"/>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Датою оплати є дата зарахування коштів на поточний рахунок Виконавця, що підтверджується відповідною банківською випискою.</w:t>
      </w:r>
    </w:p>
    <w:p w:rsidR="00000000" w:rsidDel="00000000" w:rsidP="00000000" w:rsidRDefault="00000000" w:rsidRPr="00000000" w14:paraId="00000030">
      <w:pPr>
        <w:numPr>
          <w:ilvl w:val="1"/>
          <w:numId w:val="8"/>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Розрахована відповідно до п.4.1. цього Договору сума є ціною цього Договору та включає всі визначені законодавством України податки та збори. </w:t>
      </w:r>
    </w:p>
    <w:p w:rsidR="00000000" w:rsidDel="00000000" w:rsidP="00000000" w:rsidRDefault="00000000" w:rsidRPr="00000000" w14:paraId="00000031">
      <w:pPr>
        <w:numPr>
          <w:ilvl w:val="1"/>
          <w:numId w:val="8"/>
        </w:numPr>
        <w:spacing w:after="160"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погодили, що Виконавець, як суб’єкт підприємницької діяльності, самостійно сплачує податки та збори, що визначені чинним законодавством України та цей договір не регулюється нормами законодавства України про працю чи трудовим законодавством.</w:t>
      </w:r>
    </w:p>
    <w:p w:rsidR="00000000" w:rsidDel="00000000" w:rsidP="00000000" w:rsidRDefault="00000000" w:rsidRPr="00000000" w14:paraId="00000032">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Відповідальність Сторін</w:t>
      </w:r>
    </w:p>
    <w:p w:rsidR="00000000" w:rsidDel="00000000" w:rsidP="00000000" w:rsidRDefault="00000000" w:rsidRPr="00000000" w14:paraId="00000033">
      <w:pPr>
        <w:numPr>
          <w:ilvl w:val="1"/>
          <w:numId w:val="4"/>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Виконавець несе відповідальність, передбачену законодавством України, за якість і своєчасність надання послуг, та за дотримання письмових вказівок Замовника при виконанні робіт/наданні послуг за цим Договором.</w:t>
      </w:r>
    </w:p>
    <w:p w:rsidR="00000000" w:rsidDel="00000000" w:rsidP="00000000" w:rsidRDefault="00000000" w:rsidRPr="00000000" w14:paraId="00000034">
      <w:pPr>
        <w:numPr>
          <w:ilvl w:val="1"/>
          <w:numId w:val="4"/>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Замовник несе відповідальність за несвоєчасну оплату послуг Виконавця. У випадку прострочення оплати більш ніж на 7 (сім) робочих днів Замовник сплачує Виконавцю пеню в розмірі подвійної облікової ставки НБУ від простроченої суми за кожний день прострочення.</w:t>
      </w:r>
    </w:p>
    <w:p w:rsidR="00000000" w:rsidDel="00000000" w:rsidP="00000000" w:rsidRDefault="00000000" w:rsidRPr="00000000" w14:paraId="00000035">
      <w:pPr>
        <w:numPr>
          <w:ilvl w:val="1"/>
          <w:numId w:val="4"/>
        </w:numPr>
        <w:spacing w:after="160"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невиконання, неповне чи неналежне виконання Сторонами своїх зобов'язань за даним Договором Сторони несуть відповідальність відповідно до діючого законодавства України.</w:t>
      </w:r>
    </w:p>
    <w:p w:rsidR="00000000" w:rsidDel="00000000" w:rsidP="00000000" w:rsidRDefault="00000000" w:rsidRPr="00000000" w14:paraId="00000036">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Форс-Мажор</w:t>
      </w:r>
    </w:p>
    <w:p w:rsidR="00000000" w:rsidDel="00000000" w:rsidP="00000000" w:rsidRDefault="00000000" w:rsidRPr="00000000" w14:paraId="00000037">
      <w:pPr>
        <w:numPr>
          <w:ilvl w:val="1"/>
          <w:numId w:val="3"/>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виникнення обставин непереборної сили, які виникли внаслідок подій надзвичайного характеру, зокрема, стихійні лиха і катаклізми, війни, епідемії, повстання, прийняття органами державної влади чи місцевого самоуправління рішень, що перешкоджають виконанню Сторонами зобов’язань за цим Договором, включаючи терористичні дії та антитерористичні операції, (надалі – “Форс-мажор”), Сторони звільняються від відповідальності за часткове чи повне невиконання зобов’язань за цим Договором за винятком виконання грошових зобов’язань, які відстрочуються на час дії форс-мажорних обставин. </w:t>
      </w:r>
    </w:p>
    <w:p w:rsidR="00000000" w:rsidDel="00000000" w:rsidP="00000000" w:rsidRDefault="00000000" w:rsidRPr="00000000" w14:paraId="00000038">
      <w:pPr>
        <w:numPr>
          <w:ilvl w:val="1"/>
          <w:numId w:val="3"/>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Сторона не виконує своєчасно свої зобов’язання завдяки обставинам Форс-мажору, така Сторона повинна надіслати іншій Стороні не пізніше, ніж через 5 (п’ять) календарних днів, письмове повідомлення про невиконання чи відстрочку виконання своїх зобов’язань за Договором, разом із викладенням фактів, що перешкоджають виконанню цією Стороною своїх зобов’язань за Договором. </w:t>
      </w:r>
    </w:p>
    <w:p w:rsidR="00000000" w:rsidDel="00000000" w:rsidP="00000000" w:rsidRDefault="00000000" w:rsidRPr="00000000" w14:paraId="00000039">
      <w:pPr>
        <w:numPr>
          <w:ilvl w:val="1"/>
          <w:numId w:val="3"/>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Сторона, що посилається на обставину Форс-мажору, також повинна надати іншій Стороні документ, виданий Торгово-промисловою палатою України, що підтверджує настання та існування обставини Форс-мажору. </w:t>
      </w:r>
    </w:p>
    <w:p w:rsidR="00000000" w:rsidDel="00000000" w:rsidP="00000000" w:rsidRDefault="00000000" w:rsidRPr="00000000" w14:paraId="0000003A">
      <w:pPr>
        <w:numPr>
          <w:ilvl w:val="1"/>
          <w:numId w:val="3"/>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Сторона, що посилається на обставину Форс-мажору, повинна зробити все необхідне, для того щоб звести до мінімуму наслідки Форс-мажору. Невиконання цієї вимоги Стороною позбавляють Сторону можливості посилатися на обставини Форс-мажору в разі невиконання умов цього Договору. </w:t>
      </w:r>
    </w:p>
    <w:p w:rsidR="00000000" w:rsidDel="00000000" w:rsidP="00000000" w:rsidRDefault="00000000" w:rsidRPr="00000000" w14:paraId="0000003B">
      <w:pPr>
        <w:numPr>
          <w:ilvl w:val="1"/>
          <w:numId w:val="3"/>
        </w:numPr>
        <w:spacing w:after="160"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обставини Форс-мажору тривають протягом більше, ніж 1 (один) місяць, будь-яка Сторона має право припинити дію цього Договору, надіславши іншій Стороні письмове повідомлення про припинення не пізніше, ніж за 10 календарних днів.</w:t>
      </w:r>
    </w:p>
    <w:p w:rsidR="00000000" w:rsidDel="00000000" w:rsidP="00000000" w:rsidRDefault="00000000" w:rsidRPr="00000000" w14:paraId="0000003C">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Кількість екземплярів і термін дії Договору</w:t>
      </w:r>
    </w:p>
    <w:p w:rsidR="00000000" w:rsidDel="00000000" w:rsidP="00000000" w:rsidRDefault="00000000" w:rsidRPr="00000000" w14:paraId="0000003D">
      <w:pPr>
        <w:numPr>
          <w:ilvl w:val="1"/>
          <w:numId w:val="5"/>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Даний Договір складений у двох примірниках, що мають однакову юридичну силу по одному для кожної зі Сторін.</w:t>
      </w:r>
    </w:p>
    <w:p w:rsidR="00000000" w:rsidDel="00000000" w:rsidP="00000000" w:rsidRDefault="00000000" w:rsidRPr="00000000" w14:paraId="0000003E">
      <w:pPr>
        <w:numPr>
          <w:ilvl w:val="1"/>
          <w:numId w:val="5"/>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Даний Договір набирає чинності з моменту його підписання і діє до повного виконання сторонами прийнятих на себе зобов’язань за цим Договором. Сторони погодили, що строк дії цього Договору закінчується 15 травня 2026 року, за умови належного виконання сторонами своїх обов’язків за цим Договором.</w:t>
      </w:r>
    </w:p>
    <w:p w:rsidR="00000000" w:rsidDel="00000000" w:rsidP="00000000" w:rsidRDefault="00000000" w:rsidRPr="00000000" w14:paraId="0000003F">
      <w:pPr>
        <w:numPr>
          <w:ilvl w:val="1"/>
          <w:numId w:val="5"/>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Даний Договір може бути розірвано достроково за вимогою будь-якої зі сторін. У цьому випадку сторона, що має намір провести дострокове припинення цього Договору письмово повідомляє іншу сторону про припинення договору не пізніше ніж за 15 (п’ятнадцять) робочих днів до запланованої дати. У цей період сторони мають підписати всі документи та провести всі розрахунки за цим Договором.</w:t>
      </w:r>
    </w:p>
    <w:p w:rsidR="00000000" w:rsidDel="00000000" w:rsidP="00000000" w:rsidRDefault="00000000" w:rsidRPr="00000000" w14:paraId="00000040">
      <w:pPr>
        <w:numPr>
          <w:ilvl w:val="1"/>
          <w:numId w:val="9"/>
        </w:numPr>
        <w:spacing w:after="160"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Всі повідомлення надсилаються в письмовій формі на відомі адреси сторін, що вказані у цьому Договорі.</w:t>
      </w:r>
    </w:p>
    <w:p w:rsidR="00000000" w:rsidDel="00000000" w:rsidP="00000000" w:rsidRDefault="00000000" w:rsidRPr="00000000" w14:paraId="00000041">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Інші умови</w:t>
      </w:r>
    </w:p>
    <w:p w:rsidR="00000000" w:rsidDel="00000000" w:rsidP="00000000" w:rsidRDefault="00000000" w:rsidRPr="00000000" w14:paraId="00000042">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Офіційні взаємні звертання Сторін оформлюються письмово і здійснюються звичайним способом з дотриманням установленої практики діловодства. Сторони зобов'язуються розглядати взаємні звертання протягом 1 (одного) дня з моменту їх надходження, якщо інший строк розгляду не визначено цим Договором.</w:t>
      </w:r>
    </w:p>
    <w:p w:rsidR="00000000" w:rsidDel="00000000" w:rsidP="00000000" w:rsidRDefault="00000000" w:rsidRPr="00000000" w14:paraId="00000043">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зміни і доповнення до даного Договору оформляються Сторонами у вигляді додаткових угод, що з моменту їх підписання є невід'ємною частиною даного Договору.</w:t>
      </w:r>
    </w:p>
    <w:p w:rsidR="00000000" w:rsidDel="00000000" w:rsidP="00000000" w:rsidRDefault="00000000" w:rsidRPr="00000000" w14:paraId="00000044">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Будь-які зміни і доповнення до даного Договору, що є його невід'ємною частиною, будуть мати силу в тому випадку, якщо вони зроблені в письмовій формі і підписані Сторонами.</w:t>
      </w:r>
    </w:p>
    <w:p w:rsidR="00000000" w:rsidDel="00000000" w:rsidP="00000000" w:rsidRDefault="00000000" w:rsidRPr="00000000" w14:paraId="00000045">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і розбіжності, що можуть виникнути при виконанні даного Договору, Сторони намагаються вирішити шляхом переговорів. У випадку недосягнення згоди - суперечки вирішуються у судовому порядку з застосуванням права України.</w:t>
      </w:r>
    </w:p>
    <w:p w:rsidR="00000000" w:rsidDel="00000000" w:rsidP="00000000" w:rsidRDefault="00000000" w:rsidRPr="00000000" w14:paraId="00000046">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Виконавець є платником єдиного податку (третя група) та не є платником ПДВ.</w:t>
      </w:r>
    </w:p>
    <w:p w:rsidR="00000000" w:rsidDel="00000000" w:rsidP="00000000" w:rsidRDefault="00000000" w:rsidRPr="00000000" w14:paraId="00000047">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Замовник має статус неприбуткової організації та не є платником ПДВ.</w:t>
      </w:r>
    </w:p>
    <w:p w:rsidR="00000000" w:rsidDel="00000000" w:rsidP="00000000" w:rsidRDefault="00000000" w:rsidRPr="00000000" w14:paraId="00000048">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Підписанням цього Договору сторони надають право одна одній на використання персональних даних осіб, з дотриманням чинного законодавства України щодо збору, обробки та використання персональних даних.</w:t>
      </w:r>
    </w:p>
    <w:p w:rsidR="00000000" w:rsidDel="00000000" w:rsidP="00000000" w:rsidRDefault="00000000" w:rsidRPr="00000000" w14:paraId="00000049">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Документообіг між Сторонами (у тому числі, але не виключно, підписання та обмін актами, рахунками, листами тощо) може здійснюватися у формі електронних документів із використанням погоджених сторонами платформ електронного документообігу.</w:t>
      </w:r>
    </w:p>
    <w:p w:rsidR="00000000" w:rsidDel="00000000" w:rsidP="00000000" w:rsidRDefault="00000000" w:rsidRPr="00000000" w14:paraId="0000004A">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урахуванням положень Цивільного Кодексу України, Закону України «Про електронні документи та електронний документообіг» та Закону України «Про електронну ідентифікацію та електронні довірчі послуги» Сторони у взаємовідносинах між собою мають право використовувати для підписання документів: </w:t>
      </w:r>
    </w:p>
    <w:p w:rsidR="00000000" w:rsidDel="00000000" w:rsidP="00000000" w:rsidRDefault="00000000" w:rsidRPr="00000000" w14:paraId="0000004B">
      <w:pPr>
        <w:numPr>
          <w:ilvl w:val="2"/>
          <w:numId w:val="1"/>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Електронні підписи уповноважених осіб (включаючи УЕП та КЕП);</w:t>
      </w:r>
    </w:p>
    <w:p w:rsidR="00000000" w:rsidDel="00000000" w:rsidP="00000000" w:rsidRDefault="00000000" w:rsidRPr="00000000" w14:paraId="0000004C">
      <w:pPr>
        <w:numPr>
          <w:ilvl w:val="2"/>
          <w:numId w:val="1"/>
        </w:numPr>
        <w:spacing w:line="259"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Власноручні підписи уповноважених осіб Сторін на паперових носіях документів.</w:t>
      </w:r>
    </w:p>
    <w:p w:rsidR="00000000" w:rsidDel="00000000" w:rsidP="00000000" w:rsidRDefault="00000000" w:rsidRPr="00000000" w14:paraId="0000004D">
      <w:pPr>
        <w:numPr>
          <w:ilvl w:val="1"/>
          <w:numId w:val="1"/>
        </w:numPr>
        <w:spacing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Дата підписання електронного документу не впливає на дату його складення та визначальною є дата складення документу.</w:t>
      </w:r>
    </w:p>
    <w:p w:rsidR="00000000" w:rsidDel="00000000" w:rsidP="00000000" w:rsidRDefault="00000000" w:rsidRPr="00000000" w14:paraId="0000004E">
      <w:pPr>
        <w:numPr>
          <w:ilvl w:val="1"/>
          <w:numId w:val="1"/>
        </w:numPr>
        <w:spacing w:after="160" w:line="259"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погодили, що за наявності спору між паперовими та електронними версіями документами перевагу мають паперові документи підписані сторонами. </w:t>
      </w:r>
    </w:p>
    <w:p w:rsidR="00000000" w:rsidDel="00000000" w:rsidP="00000000" w:rsidRDefault="00000000" w:rsidRPr="00000000" w14:paraId="0000004F">
      <w:pPr>
        <w:spacing w:after="160" w:line="259" w:lineRule="auto"/>
        <w:ind w:left="36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Реквізити Сторін</w:t>
      </w:r>
    </w:p>
    <w:tbl>
      <w:tblPr>
        <w:tblStyle w:val="Table1"/>
        <w:tblpPr w:leftFromText="180" w:rightFromText="180" w:topFromText="0" w:bottomFromText="0" w:vertAnchor="text" w:horzAnchor="text" w:tblpX="0" w:tblpY="0"/>
        <w:tblW w:w="10490.0" w:type="dxa"/>
        <w:jc w:val="left"/>
        <w:tblLayout w:type="fixed"/>
        <w:tblLook w:val="0400"/>
      </w:tblPr>
      <w:tblGrid>
        <w:gridCol w:w="5153"/>
        <w:gridCol w:w="5337"/>
        <w:tblGridChange w:id="0">
          <w:tblGrid>
            <w:gridCol w:w="5153"/>
            <w:gridCol w:w="5337"/>
          </w:tblGrid>
        </w:tblGridChange>
      </w:tblGrid>
      <w:tr>
        <w:trPr>
          <w:cantSplit w:val="0"/>
          <w:tblHeader w:val="0"/>
        </w:trPr>
        <w:tc>
          <w:tcPr>
            <w:tcMar>
              <w:top w:w="0.0" w:type="dxa"/>
              <w:left w:w="108.0" w:type="dxa"/>
              <w:bottom w:w="0.0" w:type="dxa"/>
              <w:right w:w="108.0" w:type="dxa"/>
            </w:tcMar>
          </w:tcPr>
          <w:p w:rsidR="00000000" w:rsidDel="00000000" w:rsidP="00000000" w:rsidRDefault="00000000" w:rsidRPr="00000000" w14:paraId="00000050">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Замовник:</w:t>
            </w: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1">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Виконавець:</w:t>
            </w:r>
            <w:r w:rsidDel="00000000" w:rsidR="00000000" w:rsidRPr="00000000">
              <w:rPr>
                <w:rtl w:val="0"/>
              </w:rPr>
            </w:r>
          </w:p>
        </w:tc>
      </w:tr>
      <w:tr>
        <w:trPr>
          <w:cantSplit w:val="0"/>
          <w:tblHeader w:val="0"/>
        </w:trPr>
        <w:tc>
          <w:tcPr>
            <w:tcMar>
              <w:top w:w="0.0" w:type="dxa"/>
              <w:left w:w="100.0" w:type="dxa"/>
              <w:bottom w:w="0.0" w:type="dxa"/>
              <w:right w:w="100.0" w:type="dxa"/>
            </w:tcMar>
          </w:tcPr>
          <w:p w:rsidR="00000000" w:rsidDel="00000000" w:rsidP="00000000" w:rsidRDefault="00000000" w:rsidRPr="00000000" w14:paraId="00000052">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БЛАГОДІЙНА ОРГАНІЗАЦІЯ</w:t>
            </w:r>
          </w:p>
          <w:p w:rsidR="00000000" w:rsidDel="00000000" w:rsidP="00000000" w:rsidRDefault="00000000" w:rsidRPr="00000000" w14:paraId="00000053">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«БЛАГОДІЙНИЙ ФОНД «СМІЛИВІ»</w:t>
            </w:r>
          </w:p>
          <w:p w:rsidR="00000000" w:rsidDel="00000000" w:rsidP="00000000" w:rsidRDefault="00000000" w:rsidRPr="00000000" w14:paraId="00000054">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ЄДРПОУ 44943474</w:t>
            </w:r>
          </w:p>
          <w:p w:rsidR="00000000" w:rsidDel="00000000" w:rsidP="00000000" w:rsidRDefault="00000000" w:rsidRPr="00000000" w14:paraId="00000055">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IBAN UA113052990000026000025039101</w:t>
            </w:r>
          </w:p>
          <w:p w:rsidR="00000000" w:rsidDel="00000000" w:rsidP="00000000" w:rsidRDefault="00000000" w:rsidRPr="00000000" w14:paraId="00000056">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АТ КБ “ПРИВАТБАНК” МФО 305299          </w:t>
            </w:r>
          </w:p>
          <w:p w:rsidR="00000000" w:rsidDel="00000000" w:rsidP="00000000" w:rsidRDefault="00000000" w:rsidRPr="00000000" w14:paraId="00000057">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Адреса: Україна, 01135, м. Київ,</w:t>
            </w:r>
          </w:p>
          <w:p w:rsidR="00000000" w:rsidDel="00000000" w:rsidP="00000000" w:rsidRDefault="00000000" w:rsidRPr="00000000" w14:paraId="00000058">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вул. Пестеля Павла, буд.7</w:t>
            </w:r>
          </w:p>
          <w:p w:rsidR="00000000" w:rsidDel="00000000" w:rsidP="00000000" w:rsidRDefault="00000000" w:rsidRPr="00000000" w14:paraId="00000059">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Телефон: +380677757399</w:t>
            </w:r>
          </w:p>
          <w:p w:rsidR="00000000" w:rsidDel="00000000" w:rsidP="00000000" w:rsidRDefault="00000000" w:rsidRPr="00000000" w14:paraId="0000005A">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Директор</w:t>
            </w:r>
          </w:p>
          <w:p w:rsidR="00000000" w:rsidDel="00000000" w:rsidP="00000000" w:rsidRDefault="00000000" w:rsidRPr="00000000" w14:paraId="0000005B">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Альона КРИЦУК _____________________</w:t>
            </w:r>
          </w:p>
        </w:tc>
        <w:tc>
          <w:tcPr>
            <w:tcMar>
              <w:top w:w="0.0" w:type="dxa"/>
              <w:left w:w="100.0" w:type="dxa"/>
              <w:bottom w:w="0.0" w:type="dxa"/>
              <w:right w:w="100.0" w:type="dxa"/>
            </w:tcMar>
          </w:tcPr>
          <w:p w:rsidR="00000000" w:rsidDel="00000000" w:rsidP="00000000" w:rsidRDefault="00000000" w:rsidRPr="00000000" w14:paraId="0000005C">
            <w:pPr>
              <w:spacing w:after="160" w:line="259" w:lineRule="auto"/>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5D">
      <w:pPr>
        <w:spacing w:after="160" w:line="259" w:lineRule="auto"/>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E">
      <w:pPr>
        <w:spacing w:after="160" w:line="259"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8"/>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3">
    <w:lvl w:ilvl="0">
      <w:start w:val="6"/>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4">
    <w:lvl w:ilvl="0">
      <w:start w:val="5"/>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5">
    <w:lvl w:ilvl="0">
      <w:start w:val="7"/>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6">
    <w:lvl w:ilvl="0">
      <w:start w:val="3"/>
      <w:numFmt w:val="decimal"/>
      <w:lvlText w:val="%1."/>
      <w:lvlJc w:val="left"/>
      <w:pPr>
        <w:ind w:left="360" w:hanging="360"/>
      </w:pPr>
      <w:rPr>
        <w:u w:val="none"/>
      </w:rPr>
    </w:lvl>
    <w:lvl w:ilvl="1">
      <w:start w:val="1"/>
      <w:numFmt w:val="decimal"/>
      <w:lvlText w:val="%1.%2."/>
      <w:lvlJc w:val="left"/>
      <w:pPr>
        <w:ind w:left="644" w:hanging="357.9999999999999"/>
      </w:pPr>
      <w:rPr>
        <w:u w:val="none"/>
      </w:rPr>
    </w:lvl>
    <w:lvl w:ilvl="2">
      <w:start w:val="1"/>
      <w:numFmt w:val="decimal"/>
      <w:lvlText w:val="%1.%2.%3."/>
      <w:lvlJc w:val="left"/>
      <w:pPr>
        <w:ind w:left="1288" w:hanging="719"/>
      </w:pPr>
      <w:rPr>
        <w:u w:val="none"/>
      </w:rPr>
    </w:lvl>
    <w:lvl w:ilvl="3">
      <w:start w:val="1"/>
      <w:numFmt w:val="decimal"/>
      <w:lvlText w:val="%1.%2.%3.%4."/>
      <w:lvlJc w:val="left"/>
      <w:pPr>
        <w:ind w:left="1572" w:hanging="720.0000000000001"/>
      </w:pPr>
      <w:rPr>
        <w:u w:val="none"/>
      </w:rPr>
    </w:lvl>
    <w:lvl w:ilvl="4">
      <w:start w:val="1"/>
      <w:numFmt w:val="decimal"/>
      <w:lvlText w:val="%1.%2.%3.%4.%5."/>
      <w:lvlJc w:val="left"/>
      <w:pPr>
        <w:ind w:left="2216" w:hanging="1080"/>
      </w:pPr>
      <w:rPr>
        <w:u w:val="none"/>
      </w:rPr>
    </w:lvl>
    <w:lvl w:ilvl="5">
      <w:start w:val="1"/>
      <w:numFmt w:val="decimal"/>
      <w:lvlText w:val="%1.%2.%3.%4.%5.%6."/>
      <w:lvlJc w:val="left"/>
      <w:pPr>
        <w:ind w:left="2500" w:hanging="1080"/>
      </w:pPr>
      <w:rPr>
        <w:u w:val="none"/>
      </w:rPr>
    </w:lvl>
    <w:lvl w:ilvl="6">
      <w:start w:val="1"/>
      <w:numFmt w:val="decimal"/>
      <w:lvlText w:val="%1.%2.%3.%4.%5.%6.%7."/>
      <w:lvlJc w:val="left"/>
      <w:pPr>
        <w:ind w:left="3144" w:hanging="1440.0000000000002"/>
      </w:pPr>
      <w:rPr>
        <w:u w:val="none"/>
      </w:rPr>
    </w:lvl>
    <w:lvl w:ilvl="7">
      <w:start w:val="1"/>
      <w:numFmt w:val="decimal"/>
      <w:lvlText w:val="%1.%2.%3.%4.%5.%6.%7.%8."/>
      <w:lvlJc w:val="left"/>
      <w:pPr>
        <w:ind w:left="3428" w:hanging="1440"/>
      </w:pPr>
      <w:rPr>
        <w:u w:val="none"/>
      </w:rPr>
    </w:lvl>
    <w:lvl w:ilvl="8">
      <w:start w:val="1"/>
      <w:numFmt w:val="decimal"/>
      <w:lvlText w:val="%1.%2.%3.%4.%5.%6.%7.%8.%9."/>
      <w:lvlJc w:val="left"/>
      <w:pPr>
        <w:ind w:left="4072" w:hanging="1800"/>
      </w:pPr>
      <w:rPr>
        <w:u w:val="none"/>
      </w:rPr>
    </w:lvl>
  </w:abstractNum>
  <w:abstractNum w:abstractNumId="7">
    <w:lvl w:ilvl="0">
      <w:start w:val="3"/>
      <w:numFmt w:val="decimal"/>
      <w:lvlText w:val="%1."/>
      <w:lvlJc w:val="left"/>
      <w:pPr>
        <w:ind w:left="360" w:hanging="360"/>
      </w:pPr>
      <w:rPr>
        <w:u w:val="none"/>
      </w:rPr>
    </w:lvl>
    <w:lvl w:ilvl="1">
      <w:start w:val="2"/>
      <w:numFmt w:val="decimal"/>
      <w:lvlText w:val="%1.%2."/>
      <w:lvlJc w:val="left"/>
      <w:pPr>
        <w:ind w:left="644" w:hanging="357.9999999999999"/>
      </w:pPr>
      <w:rPr>
        <w:u w:val="none"/>
      </w:rPr>
    </w:lvl>
    <w:lvl w:ilvl="2">
      <w:start w:val="1"/>
      <w:numFmt w:val="decimal"/>
      <w:lvlText w:val="%1.%2.%3."/>
      <w:lvlJc w:val="left"/>
      <w:pPr>
        <w:ind w:left="1288" w:hanging="719"/>
      </w:pPr>
      <w:rPr>
        <w:u w:val="none"/>
      </w:rPr>
    </w:lvl>
    <w:lvl w:ilvl="3">
      <w:start w:val="1"/>
      <w:numFmt w:val="decimal"/>
      <w:lvlText w:val="%1.%2.%3.%4."/>
      <w:lvlJc w:val="left"/>
      <w:pPr>
        <w:ind w:left="1572" w:hanging="720.0000000000001"/>
      </w:pPr>
      <w:rPr>
        <w:u w:val="none"/>
      </w:rPr>
    </w:lvl>
    <w:lvl w:ilvl="4">
      <w:start w:val="1"/>
      <w:numFmt w:val="decimal"/>
      <w:lvlText w:val="%1.%2.%3.%4.%5."/>
      <w:lvlJc w:val="left"/>
      <w:pPr>
        <w:ind w:left="2216" w:hanging="1080"/>
      </w:pPr>
      <w:rPr>
        <w:u w:val="none"/>
      </w:rPr>
    </w:lvl>
    <w:lvl w:ilvl="5">
      <w:start w:val="1"/>
      <w:numFmt w:val="decimal"/>
      <w:lvlText w:val="%1.%2.%3.%4.%5.%6."/>
      <w:lvlJc w:val="left"/>
      <w:pPr>
        <w:ind w:left="2500" w:hanging="1080"/>
      </w:pPr>
      <w:rPr>
        <w:u w:val="none"/>
      </w:rPr>
    </w:lvl>
    <w:lvl w:ilvl="6">
      <w:start w:val="1"/>
      <w:numFmt w:val="decimal"/>
      <w:lvlText w:val="%1.%2.%3.%4.%5.%6.%7."/>
      <w:lvlJc w:val="left"/>
      <w:pPr>
        <w:ind w:left="3144" w:hanging="1440.0000000000002"/>
      </w:pPr>
      <w:rPr>
        <w:u w:val="none"/>
      </w:rPr>
    </w:lvl>
    <w:lvl w:ilvl="7">
      <w:start w:val="1"/>
      <w:numFmt w:val="decimal"/>
      <w:lvlText w:val="%1.%2.%3.%4.%5.%6.%7.%8."/>
      <w:lvlJc w:val="left"/>
      <w:pPr>
        <w:ind w:left="3428" w:hanging="1440"/>
      </w:pPr>
      <w:rPr>
        <w:u w:val="none"/>
      </w:rPr>
    </w:lvl>
    <w:lvl w:ilvl="8">
      <w:start w:val="1"/>
      <w:numFmt w:val="decimal"/>
      <w:lvlText w:val="%1.%2.%3.%4.%5.%6.%7.%8.%9."/>
      <w:lvlJc w:val="left"/>
      <w:pPr>
        <w:ind w:left="4072" w:hanging="1800"/>
      </w:pPr>
      <w:rPr>
        <w:u w:val="none"/>
      </w:rPr>
    </w:lvl>
  </w:abstractNum>
  <w:abstractNum w:abstractNumId="8">
    <w:lvl w:ilvl="0">
      <w:start w:val="4"/>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9">
    <w:lvl w:ilvl="0">
      <w:start w:val="7"/>
      <w:numFmt w:val="decimal"/>
      <w:lvlText w:val="%1."/>
      <w:lvlJc w:val="left"/>
      <w:pPr>
        <w:ind w:left="360" w:hanging="360"/>
      </w:pPr>
      <w:rPr>
        <w:u w:val="none"/>
      </w:rPr>
    </w:lvl>
    <w:lvl w:ilvl="1">
      <w:start w:val="5"/>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uk"/>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